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312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1241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BARRATT CRAIG H</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1020 KIFER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INTUITIVE SURGICAL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ISRG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220" w:space="604"/>
            <w:col w:w="3336"/>
          </w:cols>
          <w:pgMar w:left="460" w:top="216" w:right="359" w:bottom="1440"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SUNNYVALE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94086</w:t>
            </w:r>
          </w:p>
        </w:tc>
      </w:tr>
      <w:tr>
        <w:trPr>
          <w:trHeight w:val="152"/>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04/30/2026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750</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2"/>
          </w:tcPr>
          <w:p>
            <w:pPr>
              <w:ind w:left="24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0.0</w:t>
            </w: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27,948</w:t>
            </w:r>
          </w:p>
        </w:tc>
        <w:tc>
          <w:tcPr>
            <w:tcW w:w="28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750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1100" w:type="dxa"/>
            <w:vAlign w:val="bottom"/>
            <w:vMerge w:val="restart"/>
          </w:tcPr>
          <w:p>
            <w:pPr>
              <w:jc w:val="right"/>
              <w:ind w:right="195"/>
              <w:spacing w:after="0" w:line="144" w:lineRule="exact"/>
              <w:rPr>
                <w:sz w:val="20"/>
                <w:szCs w:val="20"/>
                <w:color w:val="auto"/>
              </w:rPr>
            </w:pPr>
            <w:r>
              <w:rPr>
                <w:rFonts w:ascii="Times New Roman" w:cs="Times New Roman" w:eastAsia="Times New Roman" w:hAnsi="Times New Roman"/>
                <w:sz w:val="13"/>
                <w:szCs w:val="13"/>
                <w:color w:val="0000FF"/>
              </w:rPr>
              <w:t>04/30/2026</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750</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600" w:type="dxa"/>
            <w:vAlign w:val="bottom"/>
            <w:vMerge w:val="restart"/>
          </w:tcPr>
          <w:p>
            <w:pPr>
              <w:jc w:val="right"/>
              <w:ind w:right="100"/>
              <w:spacing w:after="0" w:line="144"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110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color w:val="0000FF"/>
              </w:rPr>
              <w:t>04/30/2026</w:t>
            </w:r>
          </w:p>
        </w:tc>
        <w:tc>
          <w:tcPr>
            <w:tcW w:w="110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643</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643</w:t>
            </w:r>
          </w:p>
        </w:tc>
        <w:tc>
          <w:tcPr>
            <w:tcW w:w="40" w:type="dxa"/>
            <w:vAlign w:val="bottom"/>
          </w:tcPr>
          <w:p>
            <w:pPr>
              <w:spacing w:after="0"/>
              <w:rPr>
                <w:sz w:val="12"/>
                <w:szCs w:val="12"/>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600" w:type="dxa"/>
            <w:vAlign w:val="bottom"/>
            <w:vMerge w:val="restart"/>
          </w:tcPr>
          <w:p>
            <w:pPr>
              <w:jc w:val="right"/>
              <w:ind w:right="20"/>
              <w:spacing w:after="0"/>
              <w:rPr>
                <w:sz w:val="20"/>
                <w:szCs w:val="20"/>
                <w:color w:val="auto"/>
              </w:rPr>
            </w:pPr>
            <w:r>
              <w:rPr>
                <w:rFonts w:ascii="Times New Roman" w:cs="Times New Roman" w:eastAsia="Times New Roman" w:hAnsi="Times New Roman"/>
                <w:sz w:val="13"/>
                <w:szCs w:val="13"/>
                <w:color w:val="0000FF"/>
              </w:rPr>
              <w:t>643</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Units - 4-</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7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30-2026</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-2560320</wp:posOffset>
            </wp:positionV>
            <wp:extent cx="29210" cy="256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654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100% of the RSUs shall vest on the earlier of the one year anniversary of the date of grant or the next Annual Meeting of Stockholders, subject to the Reporting Person's continued service.</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Stephanie Lim-Ignacio</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04/30/2026</w:t>
            </w:r>
          </w:p>
        </w:tc>
        <w:tc>
          <w:tcPr>
            <w:tcW w:w="0" w:type="dxa"/>
            <w:vAlign w:val="bottom"/>
          </w:tcPr>
          <w:p>
            <w:pPr>
              <w:spacing w:after="0"/>
              <w:rPr>
                <w:sz w:val="1"/>
                <w:szCs w:val="1"/>
                <w:color w:val="auto"/>
              </w:rPr>
            </w:pPr>
          </w:p>
        </w:tc>
      </w:tr>
      <w:tr>
        <w:trPr>
          <w:trHeight w:val="84"/>
        </w:trPr>
        <w:tc>
          <w:tcPr>
            <w:tcW w:w="1840" w:type="dxa"/>
            <w:vAlign w:val="bottom"/>
            <w:tcBorders>
              <w:top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For: Barratt, Craig H.</w:t>
            </w:r>
          </w:p>
        </w:tc>
        <w:tc>
          <w:tcPr>
            <w:tcW w:w="20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840" w:type="dxa"/>
            <w:vAlign w:val="bottom"/>
            <w:tcBorders>
              <w:top w:val="single" w:sz="8" w:color="auto"/>
            </w:tcBorders>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7620" TargetMode="External"/><Relationship Id="rId14" Type="http://schemas.openxmlformats.org/officeDocument/2006/relationships/hyperlink" Target="http://www.sec.gov/cgi-bin/browse-edgar?action=getcompany&amp;CIK=00010352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2026-04-30T19:14:39Z</dcterms:created>
  <dcterms:modified xsi:type="dcterms:W3CDTF">2026-04-30T19:14:39Z</dcterms:modified>
</cp:coreProperties>
</file>