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7045960" cy="86575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8657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469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Widman Fredrik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1020 KIFER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38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INTUITIVE SURGICAL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ISRG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00" w:hanging="5"/>
        <w:spacing w:after="0" w:line="261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Corporate Controller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40" w:space="595"/>
            <w:col w:w="3345"/>
          </w:cols>
          <w:pgMar w:left="460" w:top="216" w:right="359" w:bottom="469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restart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SUNNYVALE   CA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4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right="26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4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79.6378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1,572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4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208.9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1,884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4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139.52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2,209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4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304.67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2,516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4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229.39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2,823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4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290.33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3,135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4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347.4167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3,541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4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245.6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3,947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4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242.3367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4,514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4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177.9867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5,081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4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166.6233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5,343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4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182.8333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5,606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4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174.2567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5,931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4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109.4856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6,474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5,448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436.0551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1,026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79.6378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10/30/2026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jc w:val="right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4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546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02/15/2027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546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469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281940</wp:posOffset>
            </wp:positionH>
            <wp:positionV relativeFrom="page">
              <wp:posOffset>88900</wp:posOffset>
            </wp:positionV>
            <wp:extent cx="7045960" cy="99218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9921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109.4856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10/30/2026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543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08/15/2027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543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0.0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543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139.52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10/30/2026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325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02/15/2028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0.0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166.6233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10/30/2026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262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08/15/2029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0.0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174.2567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10/30/2026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325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08/15/2028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0.0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177.9867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10/30/2026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567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02/28/2030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567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0.0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567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182.8333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10/30/2026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263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02/15/2029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263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0.0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208.9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10/30/2026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312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08/28/2029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0.0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624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229.39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10/30/2026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307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02/27/2030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307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0.0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521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242.3367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10/30/2026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567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08/28/2030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567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0.0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567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245.6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10/30/2026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406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02/26/2031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0.0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290.33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10/30/2026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312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02/28/2029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0.0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304.67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10/30/2026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307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08/09/2030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307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0.0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521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347.4167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10/30/2026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406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08/26/2031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0.0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took place in accordance with a Trading Plan that complies with SEC Rule 10b5-1 and expires on September 15, 2027.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sale price. These shares were sold in multiple transactions at prices ranging from $431.64 to $453.60 as follows: 2,650 shares sold at $431.64 to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20" w:right="180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$432.57; 279 shares sold at $432.71 to $433.31; 239 shares sold at $433.85 to $434.35; 79 shares sold at $434.93 to $435.64; 321 shares sold at $435.93 to $436.73; 160 shares sold at $437.33 to $437.79; 480 shares sold at $438.76 to $439.62; 120 shares sold at $439.83 to $440.03; 160 shares sold at $440.89 to $441.86; 200 shares sold at $442.20 to $442.92; 200 shares sold at $443.37 to $444.14; 160 shares sold</w:t>
      </w:r>
    </w:p>
    <w:p>
      <w:pPr>
        <w:sectPr>
          <w:pgSz w:w="11900" w:h="16838" w:orient="portrait"/>
          <w:cols w:equalWidth="0" w:num="1">
            <w:col w:w="11040"/>
          </w:cols>
          <w:pgMar w:left="480" w:top="192" w:right="379" w:bottom="0" w:gutter="0" w:footer="0" w:header="0"/>
        </w:sectPr>
      </w:pPr>
    </w:p>
    <w:bookmarkStart w:id="2" w:name="page3"/>
    <w:bookmarkEnd w:id="2"/>
    <w:p>
      <w:pPr>
        <w:ind w:right="120"/>
        <w:spacing w:after="0" w:line="25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at $444.47 to $445.32; 240 shares sold at $445.73 to $446.59; 80 shares sold at $446.86 to $447.26; and 80 shares sold at $453.60. The Reporting Person hereby undertakes to provide to the Securities and Exchange Commission staff, the Issuer, or a security holder of the Issuer, upon request, full information regarding the number of shares sold at each respective price within the range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140" w:hanging="137"/>
        <w:spacing w:after="0"/>
        <w:tabs>
          <w:tab w:leader="none" w:pos="1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Non-statutory stock option granted pursuant to the 2010 Incentive Award Plan. The option vests 1/8th six months after the date of grant and 1/48th monthly thereafter.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7"/>
        <w:spacing w:after="0"/>
        <w:tabs>
          <w:tab w:leader="none" w:pos="1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Non-statutory stock option granted pursuant to the 2010 Incentive Award Plan. Option shall vest 7/48 one month after the date of grant and 1/48 each month thereafter.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7"/>
        <w:spacing w:after="0"/>
        <w:tabs>
          <w:tab w:leader="none" w:pos="1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Non-statutory stock option granted pursuant to the 2010 Incentive Awards Plan. The option vests 1/8th six months after the date of grant and 1/48th monthly thereafter.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3"/>
        <w:spacing w:after="0" w:line="259" w:lineRule="auto"/>
        <w:tabs>
          <w:tab w:leader="none" w:pos="13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12.5% of the shares subject to the option vest on the six-month anniversary measured from February 10, 2023, and 1/48th of the total number of shares vest in forty-two (42) successive and equal monthly installments thereafter, subject to Reporting Person's continuous service to the Issuer through each such vesting date.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80" w:firstLine="3"/>
        <w:spacing w:after="0" w:line="259" w:lineRule="auto"/>
        <w:tabs>
          <w:tab w:leader="none" w:pos="13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7/48th of the shares subject to the option vest on the one-month anniversary measured from August 10, 2023, and 1/48th of the total number of shares vest in forty-one (41) successive and equal monthly installments thereafter, subject to Reporting Person's continuous service to the Issuer through each such vesting date.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By: Stephanie Lim-Ignacio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50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For: Widman, Fredrik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right="3220" w:firstLine="3"/>
        <w:spacing w:after="0" w:line="313" w:lineRule="auto"/>
        <w:tabs>
          <w:tab w:leader="none" w:pos="137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740"/>
      </w:cols>
      <w:pgMar w:left="500" w:top="127" w:right="6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97970" TargetMode="External"/><Relationship Id="rId14" Type="http://schemas.openxmlformats.org/officeDocument/2006/relationships/hyperlink" Target="http://www.sec.gov/cgi-bin/browse-edgar?action=getcompany&amp;CIK=00010352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2026-11-02T13:53:49Z</dcterms:created>
  <dcterms:modified xsi:type="dcterms:W3CDTF">2026-11-02T13:53:49Z</dcterms:modified>
</cp:coreProperties>
</file>